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9D8" w:rsidRDefault="005459D8" w:rsidP="005459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  <w:t xml:space="preserve">                                                                                                        ЗАТВЕРДЖЕНО</w:t>
      </w:r>
    </w:p>
    <w:p w:rsidR="005459D8" w:rsidRDefault="005459D8" w:rsidP="005459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  <w:t xml:space="preserve">                                                                                                        рішення виконавчого комітету  </w:t>
      </w:r>
    </w:p>
    <w:p w:rsidR="005459D8" w:rsidRDefault="005459D8" w:rsidP="005459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  <w:t xml:space="preserve">                                                                                                        04  червня 20211 р.№192</w:t>
      </w:r>
    </w:p>
    <w:p w:rsidR="005459D8" w:rsidRDefault="005459D8" w:rsidP="005459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</w:pPr>
    </w:p>
    <w:p w:rsidR="005459D8" w:rsidRDefault="005459D8" w:rsidP="005459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uk-UA"/>
        </w:rPr>
        <w:t>ПЛАН ЗАХОДІВ</w:t>
      </w:r>
    </w:p>
    <w:p w:rsidR="005459D8" w:rsidRDefault="005459D8" w:rsidP="005459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  <w:t>щодо складання прогнозу  бюджету міської територіальної громади на 2022-2024 роки</w:t>
      </w:r>
    </w:p>
    <w:p w:rsidR="005459D8" w:rsidRDefault="005459D8" w:rsidP="005459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</w:pPr>
    </w:p>
    <w:tbl>
      <w:tblPr>
        <w:tblW w:w="5214" w:type="pct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325"/>
        <w:gridCol w:w="4877"/>
        <w:gridCol w:w="2360"/>
        <w:gridCol w:w="2515"/>
      </w:tblGrid>
      <w:tr w:rsidR="005459D8" w:rsidTr="005459D8">
        <w:trPr>
          <w:trHeight w:val="804"/>
        </w:trPr>
        <w:tc>
          <w:tcPr>
            <w:tcW w:w="161" w:type="pct"/>
            <w:tcBorders>
              <w:top w:val="outset" w:sz="8" w:space="0" w:color="000000"/>
              <w:left w:val="outset" w:sz="8" w:space="0" w:color="000000"/>
              <w:bottom w:val="single" w:sz="4" w:space="0" w:color="auto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bookmarkStart w:id="0" w:name="n71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№ з/п</w:t>
            </w:r>
          </w:p>
        </w:tc>
        <w:tc>
          <w:tcPr>
            <w:tcW w:w="2420" w:type="pct"/>
            <w:tcBorders>
              <w:top w:val="outset" w:sz="8" w:space="0" w:color="000000"/>
              <w:left w:val="nil"/>
              <w:bottom w:val="single" w:sz="4" w:space="0" w:color="auto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Зміст заходів</w:t>
            </w:r>
          </w:p>
        </w:tc>
        <w:tc>
          <w:tcPr>
            <w:tcW w:w="1171" w:type="pct"/>
            <w:tcBorders>
              <w:top w:val="outset" w:sz="8" w:space="0" w:color="000000"/>
              <w:left w:val="nil"/>
              <w:bottom w:val="single" w:sz="4" w:space="0" w:color="auto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Термін виконання</w:t>
            </w:r>
          </w:p>
        </w:tc>
        <w:tc>
          <w:tcPr>
            <w:tcW w:w="1248" w:type="pct"/>
            <w:tcBorders>
              <w:top w:val="outset" w:sz="8" w:space="0" w:color="000000"/>
              <w:left w:val="nil"/>
              <w:bottom w:val="single" w:sz="4" w:space="0" w:color="auto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Відповідальні за виконання</w:t>
            </w:r>
          </w:p>
        </w:tc>
      </w:tr>
      <w:tr w:rsidR="005459D8" w:rsidTr="005459D8">
        <w:trPr>
          <w:trHeight w:val="300"/>
        </w:trPr>
        <w:tc>
          <w:tcPr>
            <w:tcW w:w="161" w:type="pct"/>
            <w:tcBorders>
              <w:top w:val="single" w:sz="4" w:space="0" w:color="auto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1</w:t>
            </w:r>
          </w:p>
        </w:tc>
        <w:tc>
          <w:tcPr>
            <w:tcW w:w="2420" w:type="pct"/>
            <w:tcBorders>
              <w:top w:val="single" w:sz="4" w:space="0" w:color="auto"/>
              <w:left w:val="nil"/>
              <w:bottom w:val="outset" w:sz="8" w:space="0" w:color="000000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2</w:t>
            </w:r>
          </w:p>
        </w:tc>
        <w:tc>
          <w:tcPr>
            <w:tcW w:w="1171" w:type="pct"/>
            <w:tcBorders>
              <w:top w:val="single" w:sz="4" w:space="0" w:color="auto"/>
              <w:left w:val="nil"/>
              <w:bottom w:val="outset" w:sz="8" w:space="0" w:color="000000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3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outset" w:sz="8" w:space="0" w:color="000000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4</w:t>
            </w:r>
          </w:p>
        </w:tc>
      </w:tr>
      <w:tr w:rsidR="005459D8" w:rsidTr="005459D8">
        <w:tc>
          <w:tcPr>
            <w:tcW w:w="161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1.</w:t>
            </w:r>
          </w:p>
        </w:tc>
        <w:tc>
          <w:tcPr>
            <w:tcW w:w="2420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Здійснення аналізу виконання  бюджету міської територіальної громади  у попередніх та поточному бюджетних періодах, виявлення тенденцій у виконанні дохідної та видаткової частин бюджету</w:t>
            </w:r>
          </w:p>
        </w:tc>
        <w:tc>
          <w:tcPr>
            <w:tcW w:w="1171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до 15 липня</w:t>
            </w:r>
          </w:p>
        </w:tc>
        <w:tc>
          <w:tcPr>
            <w:tcW w:w="1248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 фінансове управління</w:t>
            </w:r>
          </w:p>
        </w:tc>
      </w:tr>
      <w:tr w:rsidR="005459D8" w:rsidTr="005459D8">
        <w:tc>
          <w:tcPr>
            <w:tcW w:w="161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2.</w:t>
            </w:r>
          </w:p>
        </w:tc>
        <w:tc>
          <w:tcPr>
            <w:tcW w:w="2420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Доведення до головних розпорядників бюджетних коштів організаційно-методологічних засад складання прогнозу  бюджету міської територіальної громади, визначених Мінфіном, та інструктивного листа щодо основних організаційних засад процесу підготовки пропозицій до прогнозу бюджету</w:t>
            </w:r>
          </w:p>
        </w:tc>
        <w:tc>
          <w:tcPr>
            <w:tcW w:w="1171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у триденний термін з дня отримання </w:t>
            </w:r>
          </w:p>
        </w:tc>
        <w:tc>
          <w:tcPr>
            <w:tcW w:w="1248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ind w:right="103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фінансове управління</w:t>
            </w:r>
          </w:p>
        </w:tc>
      </w:tr>
      <w:tr w:rsidR="005459D8" w:rsidTr="005459D8">
        <w:tc>
          <w:tcPr>
            <w:tcW w:w="161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3.</w:t>
            </w:r>
          </w:p>
        </w:tc>
        <w:tc>
          <w:tcPr>
            <w:tcW w:w="2420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Надання  фінансовому управлінню основних прогнозних показників економічного і соціального розвитку території на середньостроковий період</w:t>
            </w:r>
          </w:p>
        </w:tc>
        <w:tc>
          <w:tcPr>
            <w:tcW w:w="1171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до 15 липня</w:t>
            </w:r>
          </w:p>
        </w:tc>
        <w:tc>
          <w:tcPr>
            <w:tcW w:w="1248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управління економічного розвитку, проектної діяльності та інвестицій</w:t>
            </w:r>
          </w:p>
        </w:tc>
      </w:tr>
      <w:tr w:rsidR="005459D8" w:rsidTr="005459D8">
        <w:tc>
          <w:tcPr>
            <w:tcW w:w="161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4.</w:t>
            </w:r>
          </w:p>
        </w:tc>
        <w:tc>
          <w:tcPr>
            <w:tcW w:w="2420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Надання фінансовому управлінню інформації щодо чисельності населення</w:t>
            </w:r>
          </w:p>
        </w:tc>
        <w:tc>
          <w:tcPr>
            <w:tcW w:w="1171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до 15 липня</w:t>
            </w:r>
          </w:p>
        </w:tc>
        <w:tc>
          <w:tcPr>
            <w:tcW w:w="1248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ind w:right="103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департамент фінансів облдержадміністрації</w:t>
            </w:r>
          </w:p>
        </w:tc>
      </w:tr>
      <w:tr w:rsidR="005459D8" w:rsidTr="005459D8">
        <w:tc>
          <w:tcPr>
            <w:tcW w:w="161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uk-UA"/>
              </w:rPr>
              <w:t>.</w:t>
            </w:r>
          </w:p>
        </w:tc>
        <w:tc>
          <w:tcPr>
            <w:tcW w:w="2420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5459D8" w:rsidRDefault="0054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Підготовка та подання  фінансовому управлінню разом з поясненнями (зокрема в частині фіскальних ризиків у майбутніх періодах) прогнозних обсягів доходів бюджету на середньостроковий період відповідно до типової форми прогнозу місцевого бюджету</w:t>
            </w:r>
          </w:p>
          <w:p w:rsidR="005459D8" w:rsidRDefault="005459D8" w:rsidP="00B320E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щодо платежів, контроль за якими закріплено за органами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Держвної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податкової служби</w:t>
            </w:r>
          </w:p>
          <w:p w:rsidR="005459D8" w:rsidRDefault="0054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5459D8" w:rsidRDefault="0054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5459D8" w:rsidRDefault="0054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5459D8" w:rsidRDefault="0054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5459D8" w:rsidRDefault="005459D8" w:rsidP="00B320E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щодо прогнозних обсягів надходжень , контроль за якими закріплено  за управліннями та відділами виконавчого комітету</w:t>
            </w:r>
          </w:p>
        </w:tc>
        <w:tc>
          <w:tcPr>
            <w:tcW w:w="1171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до 15 липня</w:t>
            </w:r>
          </w:p>
        </w:tc>
        <w:tc>
          <w:tcPr>
            <w:tcW w:w="1248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5459D8" w:rsidRDefault="0054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  <w:p w:rsidR="005459D8" w:rsidRDefault="0054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5459D8" w:rsidRDefault="0054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5459D8" w:rsidRDefault="0054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5459D8" w:rsidRDefault="005459D8">
            <w:pPr>
              <w:spacing w:after="0" w:line="240" w:lineRule="auto"/>
              <w:ind w:right="-39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5459D8" w:rsidRDefault="005459D8">
            <w:pPr>
              <w:spacing w:after="0" w:line="240" w:lineRule="auto"/>
              <w:ind w:right="-39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5459D8" w:rsidRDefault="005459D8">
            <w:pPr>
              <w:spacing w:after="0" w:line="240" w:lineRule="auto"/>
              <w:ind w:right="-39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Нововолинська державна податкова інспекція Головного управління  Державної податкової служби у Волинській області; </w:t>
            </w:r>
          </w:p>
          <w:p w:rsidR="005459D8" w:rsidRDefault="0054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5459D8" w:rsidRDefault="0054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управління економічного розвитку, проектної діяльності та інвестицій; відділ містобудування та земельних відносин; управління «Центр надання адміністративних послуг»;  відділ </w:t>
            </w:r>
          </w:p>
          <w:p w:rsidR="005459D8" w:rsidRDefault="0054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lastRenderedPageBreak/>
              <w:t>державного архітектурно-будівельного контролю</w:t>
            </w:r>
          </w:p>
        </w:tc>
      </w:tr>
      <w:tr w:rsidR="005459D8" w:rsidTr="005459D8">
        <w:trPr>
          <w:trHeight w:val="262"/>
        </w:trPr>
        <w:tc>
          <w:tcPr>
            <w:tcW w:w="161" w:type="pct"/>
            <w:tcBorders>
              <w:top w:val="single" w:sz="4" w:space="0" w:color="auto"/>
              <w:left w:val="outset" w:sz="8" w:space="0" w:color="000000"/>
              <w:bottom w:val="single" w:sz="4" w:space="0" w:color="auto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lastRenderedPageBreak/>
              <w:t>1</w:t>
            </w:r>
          </w:p>
        </w:tc>
        <w:tc>
          <w:tcPr>
            <w:tcW w:w="2420" w:type="pct"/>
            <w:tcBorders>
              <w:top w:val="single" w:sz="4" w:space="0" w:color="auto"/>
              <w:left w:val="nil"/>
              <w:bottom w:val="single" w:sz="4" w:space="0" w:color="auto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2</w:t>
            </w:r>
          </w:p>
        </w:tc>
        <w:tc>
          <w:tcPr>
            <w:tcW w:w="1171" w:type="pct"/>
            <w:tcBorders>
              <w:top w:val="single" w:sz="4" w:space="0" w:color="auto"/>
              <w:left w:val="nil"/>
              <w:bottom w:val="single" w:sz="4" w:space="0" w:color="auto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3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4</w:t>
            </w:r>
          </w:p>
        </w:tc>
      </w:tr>
      <w:tr w:rsidR="005459D8" w:rsidTr="005459D8">
        <w:trPr>
          <w:trHeight w:val="3108"/>
        </w:trPr>
        <w:tc>
          <w:tcPr>
            <w:tcW w:w="161" w:type="pct"/>
            <w:tcBorders>
              <w:top w:val="single" w:sz="4" w:space="0" w:color="auto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6.</w:t>
            </w:r>
          </w:p>
        </w:tc>
        <w:tc>
          <w:tcPr>
            <w:tcW w:w="2420" w:type="pct"/>
            <w:tcBorders>
              <w:top w:val="single" w:sz="4" w:space="0" w:color="auto"/>
              <w:left w:val="nil"/>
              <w:bottom w:val="outset" w:sz="8" w:space="0" w:color="000000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Прогнозування обсягів доходів бюджету міської територіальної громади, визначення обсягів фінансування бюджету, повернення кредитів до  бюджету та орієнтовних граничних показників видатків бюджету  міської територіальної громади та надання кредитів з  бюджету на середньостроковий період на підставі прогнозу економічного і соціального розвитку України та території, аналізу виконання бюджету в попередніх та поточному бюджетних періодах</w:t>
            </w:r>
          </w:p>
        </w:tc>
        <w:tc>
          <w:tcPr>
            <w:tcW w:w="1171" w:type="pct"/>
            <w:tcBorders>
              <w:top w:val="single" w:sz="4" w:space="0" w:color="auto"/>
              <w:left w:val="nil"/>
              <w:bottom w:val="outset" w:sz="8" w:space="0" w:color="000000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до 20 липня 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outset" w:sz="8" w:space="0" w:color="000000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фінансове управління</w:t>
            </w:r>
          </w:p>
        </w:tc>
      </w:tr>
      <w:tr w:rsidR="005459D8" w:rsidTr="005459D8">
        <w:tc>
          <w:tcPr>
            <w:tcW w:w="161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7.</w:t>
            </w:r>
          </w:p>
        </w:tc>
        <w:tc>
          <w:tcPr>
            <w:tcW w:w="2420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Розроблення та доведення до головних розпорядників бюджетних коштів інструкцій з підготовки пропозицій до прогнозу бюджету та орієнтовних граничних показників видатків та надання кредитів з  бюджету міської територіальної громади на середньостроковий період</w:t>
            </w:r>
          </w:p>
        </w:tc>
        <w:tc>
          <w:tcPr>
            <w:tcW w:w="1171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липень 2021 року (після отримання від департаменту фінансів облдержадміністрації організаційно-методологічних засад відповідно до статті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75ˡ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Бюджетного кодексу України) </w:t>
            </w:r>
          </w:p>
        </w:tc>
        <w:tc>
          <w:tcPr>
            <w:tcW w:w="1248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фінансове управління</w:t>
            </w:r>
          </w:p>
        </w:tc>
      </w:tr>
      <w:tr w:rsidR="005459D8" w:rsidTr="005459D8">
        <w:tc>
          <w:tcPr>
            <w:tcW w:w="161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8.</w:t>
            </w:r>
          </w:p>
        </w:tc>
        <w:tc>
          <w:tcPr>
            <w:tcW w:w="2420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Надання  фінансовому управлінню пропозицій до прогнозу  бюджету міської територіальної громади</w:t>
            </w:r>
          </w:p>
        </w:tc>
        <w:tc>
          <w:tcPr>
            <w:tcW w:w="1171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до 5 серпня</w:t>
            </w:r>
          </w:p>
        </w:tc>
        <w:tc>
          <w:tcPr>
            <w:tcW w:w="1248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головні розпорядники бюджетних коштів</w:t>
            </w:r>
          </w:p>
        </w:tc>
      </w:tr>
      <w:tr w:rsidR="005459D8" w:rsidTr="005459D8">
        <w:tc>
          <w:tcPr>
            <w:tcW w:w="161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9.</w:t>
            </w:r>
          </w:p>
        </w:tc>
        <w:tc>
          <w:tcPr>
            <w:tcW w:w="2420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Здійснення аналізу поданих головними розпорядниками бюджетних коштів пропозицій до прогнозу бюджету  міської територіальної громади на відповідність доведеним орієнтовним граничним показникам видатків бюджету та надання кредитів з  бюджету і вимогам доведених інструкцій</w:t>
            </w:r>
          </w:p>
        </w:tc>
        <w:tc>
          <w:tcPr>
            <w:tcW w:w="1171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до 10 серпня</w:t>
            </w:r>
          </w:p>
        </w:tc>
        <w:tc>
          <w:tcPr>
            <w:tcW w:w="1248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фінансове управління</w:t>
            </w:r>
          </w:p>
        </w:tc>
      </w:tr>
      <w:tr w:rsidR="005459D8" w:rsidTr="005459D8">
        <w:tc>
          <w:tcPr>
            <w:tcW w:w="161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10.</w:t>
            </w:r>
          </w:p>
        </w:tc>
        <w:tc>
          <w:tcPr>
            <w:tcW w:w="2420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Подання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проєкту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прогнозу  бюджету міської територіальної громади до виконавчого комітету</w:t>
            </w:r>
          </w:p>
        </w:tc>
        <w:tc>
          <w:tcPr>
            <w:tcW w:w="1171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до 15 серпня</w:t>
            </w:r>
          </w:p>
        </w:tc>
        <w:tc>
          <w:tcPr>
            <w:tcW w:w="1248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фінансове управління</w:t>
            </w:r>
          </w:p>
        </w:tc>
      </w:tr>
      <w:tr w:rsidR="005459D8" w:rsidTr="005459D8">
        <w:tc>
          <w:tcPr>
            <w:tcW w:w="161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11.</w:t>
            </w:r>
          </w:p>
        </w:tc>
        <w:tc>
          <w:tcPr>
            <w:tcW w:w="2420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Розгляд та схвалення прогнозу  бюджету міської територіальної громади</w:t>
            </w:r>
          </w:p>
        </w:tc>
        <w:tc>
          <w:tcPr>
            <w:tcW w:w="1171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до 1 вересня</w:t>
            </w:r>
          </w:p>
        </w:tc>
        <w:tc>
          <w:tcPr>
            <w:tcW w:w="1248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виконавчий комітет </w:t>
            </w:r>
          </w:p>
        </w:tc>
      </w:tr>
      <w:tr w:rsidR="005459D8" w:rsidTr="005459D8">
        <w:trPr>
          <w:trHeight w:val="963"/>
        </w:trPr>
        <w:tc>
          <w:tcPr>
            <w:tcW w:w="161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12.</w:t>
            </w:r>
          </w:p>
        </w:tc>
        <w:tc>
          <w:tcPr>
            <w:tcW w:w="2420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Подання прогнозу  бюджету  міської територіальної громади до міської ради для розгляду </w:t>
            </w:r>
          </w:p>
        </w:tc>
        <w:tc>
          <w:tcPr>
            <w:tcW w:w="1171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у п’ятиденний термін після схвалення  виконавчим комітетом</w:t>
            </w:r>
          </w:p>
        </w:tc>
        <w:tc>
          <w:tcPr>
            <w:tcW w:w="1248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5459D8" w:rsidRDefault="005459D8">
            <w:pPr>
              <w:spacing w:after="0" w:line="240" w:lineRule="auto"/>
              <w:ind w:right="-18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фінансове управління</w:t>
            </w:r>
          </w:p>
        </w:tc>
      </w:tr>
    </w:tbl>
    <w:p w:rsidR="005459D8" w:rsidRDefault="005459D8" w:rsidP="005459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</w:pPr>
    </w:p>
    <w:p w:rsidR="005459D8" w:rsidRDefault="005459D8" w:rsidP="005459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</w:pPr>
    </w:p>
    <w:p w:rsidR="005459D8" w:rsidRDefault="005459D8" w:rsidP="005459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  <w:t xml:space="preserve">Керуюча справами </w:t>
      </w:r>
    </w:p>
    <w:p w:rsidR="005459D8" w:rsidRDefault="005459D8" w:rsidP="005459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  <w:t>виконавчогокомітету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  <w:t xml:space="preserve">                                                                                                      В.В.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  <w:t>Степюк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  <w:t xml:space="preserve">  </w:t>
      </w:r>
    </w:p>
    <w:p w:rsidR="005459D8" w:rsidRDefault="005459D8" w:rsidP="005459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</w:pPr>
    </w:p>
    <w:p w:rsidR="005459D8" w:rsidRDefault="005459D8" w:rsidP="005459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  <w:t>Бурочук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  <w:t xml:space="preserve"> 41220             </w:t>
      </w:r>
    </w:p>
    <w:p w:rsidR="005459D8" w:rsidRDefault="005459D8" w:rsidP="005459D8">
      <w:pPr>
        <w:spacing w:after="0" w:line="240" w:lineRule="auto"/>
      </w:pPr>
    </w:p>
    <w:p w:rsidR="00D27935" w:rsidRDefault="00D27935"/>
    <w:sectPr w:rsidR="00D27935" w:rsidSect="00D2793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7F7B"/>
    <w:multiLevelType w:val="hybridMultilevel"/>
    <w:tmpl w:val="0FD484EC"/>
    <w:lvl w:ilvl="0" w:tplc="EA0E9F6A">
      <w:start w:val="5"/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5459D8"/>
    <w:rsid w:val="001D2F5C"/>
    <w:rsid w:val="002D45D1"/>
    <w:rsid w:val="00457DF4"/>
    <w:rsid w:val="005459D8"/>
    <w:rsid w:val="00D27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9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59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7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2714</Words>
  <Characters>1548</Characters>
  <Application>Microsoft Office Word</Application>
  <DocSecurity>0</DocSecurity>
  <Lines>12</Lines>
  <Paragraphs>8</Paragraphs>
  <ScaleCrop>false</ScaleCrop>
  <Company/>
  <LinksUpToDate>false</LinksUpToDate>
  <CharactersWithSpaces>4254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Груй СЙ_2</cp:lastModifiedBy>
  <cp:revision>2</cp:revision>
  <dcterms:created xsi:type="dcterms:W3CDTF">2021-06-08T13:35:00Z</dcterms:created>
  <dcterms:modified xsi:type="dcterms:W3CDTF">2021-06-08T13:36:00Z</dcterms:modified>
</cp:coreProperties>
</file>